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4C73" w14:textId="5A72C95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8063A1">
        <w:rPr>
          <w:sz w:val="24"/>
          <w:szCs w:val="24"/>
        </w:rPr>
        <w:t xml:space="preserve"> 91/250/2021</w:t>
      </w:r>
    </w:p>
    <w:p w14:paraId="1EF29ECA" w14:textId="3250D79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Zarządu Powiatu Bartoszyckiego</w:t>
      </w:r>
    </w:p>
    <w:p w14:paraId="24ABB119" w14:textId="39F14089" w:rsidR="00F456C7" w:rsidRDefault="008063A1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56C7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09 marca 2021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341BF40F" w:rsidR="00F456C7" w:rsidRDefault="00F456C7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ogłoszenia otwartego konkursu ofert na realizację zadań publicznych Powiat</w:t>
      </w:r>
      <w:r w:rsidR="00D7701E">
        <w:rPr>
          <w:sz w:val="24"/>
          <w:szCs w:val="24"/>
        </w:rPr>
        <w:t>u</w:t>
      </w:r>
      <w:r>
        <w:rPr>
          <w:sz w:val="24"/>
          <w:szCs w:val="24"/>
        </w:rPr>
        <w:t xml:space="preserve"> Bartoszyckiego w 2021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4EEAC777" w:rsidR="00171C3E" w:rsidRPr="00171C3E" w:rsidRDefault="00171C3E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2020 r. poz. 920 ze zm.),</w:t>
      </w:r>
      <w:r w:rsidRPr="00171C3E">
        <w:rPr>
          <w:sz w:val="24"/>
          <w:szCs w:val="24"/>
        </w:rPr>
        <w:t xml:space="preserve"> art. 11 ust. 1 i 2 i art. 13 ustawy z dnia 24 kwietnia  2003 r. o działalności pożytku publicznego i  wolontariacie (Dz. U. z 2020 r. poz. 1057)</w:t>
      </w:r>
      <w:r>
        <w:rPr>
          <w:sz w:val="24"/>
          <w:szCs w:val="24"/>
        </w:rPr>
        <w:t xml:space="preserve"> i </w:t>
      </w:r>
      <w:r w:rsidR="007615FF">
        <w:rPr>
          <w:sz w:val="24"/>
          <w:szCs w:val="24"/>
        </w:rPr>
        <w:t>u</w:t>
      </w:r>
      <w:r w:rsidRPr="00171C3E">
        <w:rPr>
          <w:sz w:val="24"/>
          <w:szCs w:val="24"/>
        </w:rPr>
        <w:t>chwał</w:t>
      </w:r>
      <w:r w:rsidR="007615FF">
        <w:rPr>
          <w:sz w:val="24"/>
          <w:szCs w:val="24"/>
        </w:rPr>
        <w:t>y</w:t>
      </w:r>
      <w:r w:rsidRPr="00171C3E">
        <w:rPr>
          <w:sz w:val="24"/>
          <w:szCs w:val="24"/>
        </w:rPr>
        <w:t xml:space="preserve"> nr XXXI/160/2020</w:t>
      </w:r>
      <w:r w:rsidR="007615FF">
        <w:rPr>
          <w:sz w:val="24"/>
          <w:szCs w:val="24"/>
        </w:rPr>
        <w:t xml:space="preserve"> </w:t>
      </w:r>
      <w:r w:rsidRPr="00171C3E">
        <w:rPr>
          <w:sz w:val="24"/>
          <w:szCs w:val="24"/>
        </w:rPr>
        <w:t>Rady Powiatu Bartoszyckiego</w:t>
      </w:r>
      <w:r w:rsidR="007615FF">
        <w:rPr>
          <w:sz w:val="24"/>
          <w:szCs w:val="24"/>
        </w:rPr>
        <w:t xml:space="preserve"> </w:t>
      </w:r>
      <w:r w:rsidRPr="00171C3E">
        <w:rPr>
          <w:sz w:val="24"/>
          <w:szCs w:val="24"/>
        </w:rPr>
        <w:t>z dnia 13 listopada 2020 roku</w:t>
      </w:r>
      <w:r w:rsidR="007615FF">
        <w:rPr>
          <w:sz w:val="24"/>
          <w:szCs w:val="24"/>
        </w:rPr>
        <w:t xml:space="preserve"> </w:t>
      </w:r>
      <w:r w:rsidRPr="00171C3E">
        <w:rPr>
          <w:sz w:val="24"/>
          <w:szCs w:val="24"/>
        </w:rPr>
        <w:t>w sprawie uchwalenia "Rocznego programu współpracy Powiatu Bartoszyckiego z organizacjami pozarządowymi oraz podmiotami, o których mowa w art. 3 ust. 3 ustawy z dnia 24 kwietnia 2003 r. o działalności pożytku publicznego i wolontariacie na 2021 rok"</w:t>
      </w:r>
      <w:r w:rsidR="007615FF">
        <w:rPr>
          <w:sz w:val="24"/>
          <w:szCs w:val="24"/>
        </w:rPr>
        <w:t xml:space="preserve"> Zarząd Powiatu Bartoszyckiego, uchwala co następuje:</w:t>
      </w:r>
    </w:p>
    <w:p w14:paraId="51EF8CA0" w14:textId="26CA2507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>głasza otwarty konkurs ofert na realizacj</w:t>
      </w:r>
      <w:r>
        <w:rPr>
          <w:sz w:val="24"/>
          <w:szCs w:val="24"/>
        </w:rPr>
        <w:t>ę w 2021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3FB57E8" w14:textId="61902809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Ekologia i ochrona </w:t>
      </w:r>
      <w:r w:rsidRPr="007615FF">
        <w:rPr>
          <w:sz w:val="24"/>
          <w:szCs w:val="24"/>
        </w:rPr>
        <w:t>zwierząt oraz dziedzictwa przyrodniczego</w:t>
      </w:r>
    </w:p>
    <w:p w14:paraId="725CD3FB" w14:textId="544E359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Działalność wspomagająca rozwój gospodarczy, w tym rozwój przedsiębiorczości</w:t>
      </w:r>
    </w:p>
    <w:p w14:paraId="576A4AC7" w14:textId="400294CA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Ochrony i promocji zdrowia</w:t>
      </w:r>
    </w:p>
    <w:p w14:paraId="3E12D3DD" w14:textId="7D48A938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6790CEB7" w14:textId="3855AFFA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nr 1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726F712D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6B02CD1A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Zarządu Powiatu </w:t>
      </w:r>
    </w:p>
    <w:p w14:paraId="6583543B" w14:textId="0639915A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J. Zbigniew Nadolny 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t>Ogłoszenie</w:t>
      </w:r>
    </w:p>
    <w:p w14:paraId="5A7F7A2E" w14:textId="600646AF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2021 roku przez organizacje pozarządowe, podmioty wymienione w art.3 ust. 3 ustawy z dnia 24.04.2003 r. o działalności pożytku publicznego i wolontariacie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9811" w:type="dxa"/>
        <w:tblLook w:val="04A0" w:firstRow="1" w:lastRow="0" w:firstColumn="1" w:lastColumn="0" w:noHBand="0" w:noVBand="1"/>
      </w:tblPr>
      <w:tblGrid>
        <w:gridCol w:w="3947"/>
        <w:gridCol w:w="1673"/>
        <w:gridCol w:w="2168"/>
        <w:gridCol w:w="2023"/>
      </w:tblGrid>
      <w:tr w:rsidR="004D35AC" w:rsidRPr="00606D08" w14:paraId="32EEEFC4" w14:textId="77777777" w:rsidTr="004D35AC">
        <w:trPr>
          <w:trHeight w:val="543"/>
        </w:trPr>
        <w:tc>
          <w:tcPr>
            <w:tcW w:w="3947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023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606D08" w14:paraId="792D3F84" w14:textId="77777777" w:rsidTr="004D35AC">
        <w:trPr>
          <w:trHeight w:val="1677"/>
        </w:trPr>
        <w:tc>
          <w:tcPr>
            <w:tcW w:w="3947" w:type="dxa"/>
          </w:tcPr>
          <w:p w14:paraId="1370F6C4" w14:textId="3D273FF4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Ekologia i ochrona zwierząt oraz dziedzictwa przyrodniczego</w:t>
            </w:r>
          </w:p>
        </w:tc>
        <w:tc>
          <w:tcPr>
            <w:tcW w:w="1673" w:type="dxa"/>
          </w:tcPr>
          <w:p w14:paraId="6FB77865" w14:textId="683EA655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10 000,00 zł </w:t>
            </w:r>
          </w:p>
        </w:tc>
        <w:tc>
          <w:tcPr>
            <w:tcW w:w="2168" w:type="dxa"/>
          </w:tcPr>
          <w:p w14:paraId="6C92A78F" w14:textId="741D8C82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Działania w zakresie edukacji ekologicznej odnoszącej się do poprawy jakości powietrza</w:t>
            </w:r>
          </w:p>
        </w:tc>
        <w:tc>
          <w:tcPr>
            <w:tcW w:w="2023" w:type="dxa"/>
          </w:tcPr>
          <w:p w14:paraId="5133164E" w14:textId="719FC52A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Liczba działań o charakterze ekologicznym </w:t>
            </w:r>
          </w:p>
        </w:tc>
      </w:tr>
      <w:tr w:rsidR="004D35AC" w:rsidRPr="00606D08" w14:paraId="47DBE5ED" w14:textId="77777777" w:rsidTr="004D35AC">
        <w:trPr>
          <w:trHeight w:val="1382"/>
        </w:trPr>
        <w:tc>
          <w:tcPr>
            <w:tcW w:w="3947" w:type="dxa"/>
          </w:tcPr>
          <w:p w14:paraId="028F980F" w14:textId="77777777" w:rsidR="004D35AC" w:rsidRPr="00606D08" w:rsidRDefault="004D35AC" w:rsidP="0092686F">
            <w:pPr>
              <w:rPr>
                <w:sz w:val="24"/>
                <w:szCs w:val="24"/>
              </w:rPr>
            </w:pPr>
            <w:bookmarkStart w:id="1" w:name="_Hlk65478941"/>
            <w:r w:rsidRPr="00606D08">
              <w:rPr>
                <w:sz w:val="24"/>
                <w:szCs w:val="24"/>
              </w:rPr>
              <w:t>Działalność wspomagająca </w:t>
            </w:r>
          </w:p>
          <w:p w14:paraId="57EAB38C" w14:textId="36A567E5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rozwój gospodarczy, w tym rozwój przedsiębiorczości</w:t>
            </w:r>
            <w:bookmarkEnd w:id="1"/>
          </w:p>
        </w:tc>
        <w:tc>
          <w:tcPr>
            <w:tcW w:w="1673" w:type="dxa"/>
          </w:tcPr>
          <w:p w14:paraId="61F6E0CB" w14:textId="7861259C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5 000,00 zł </w:t>
            </w:r>
          </w:p>
        </w:tc>
        <w:tc>
          <w:tcPr>
            <w:tcW w:w="2168" w:type="dxa"/>
          </w:tcPr>
          <w:p w14:paraId="571AAAE7" w14:textId="50ED9F2D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Rozwijanie postaw proaktywnych i przedsiębiorczych</w:t>
            </w:r>
          </w:p>
        </w:tc>
        <w:tc>
          <w:tcPr>
            <w:tcW w:w="2023" w:type="dxa"/>
          </w:tcPr>
          <w:p w14:paraId="351B53FC" w14:textId="704B49DE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Liczba działań rozwijających postawy proaktywne i przedsiębiorcze </w:t>
            </w:r>
          </w:p>
        </w:tc>
      </w:tr>
      <w:tr w:rsidR="004D35AC" w:rsidRPr="00606D08" w14:paraId="76C03793" w14:textId="77777777" w:rsidTr="004D35AC">
        <w:trPr>
          <w:trHeight w:val="264"/>
        </w:trPr>
        <w:tc>
          <w:tcPr>
            <w:tcW w:w="3947" w:type="dxa"/>
          </w:tcPr>
          <w:p w14:paraId="5A10936E" w14:textId="75B02788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Ochrony i promocji zdrowia</w:t>
            </w:r>
          </w:p>
        </w:tc>
        <w:tc>
          <w:tcPr>
            <w:tcW w:w="1673" w:type="dxa"/>
          </w:tcPr>
          <w:p w14:paraId="48F4D719" w14:textId="3280FE6E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2 500,00 zł </w:t>
            </w:r>
          </w:p>
        </w:tc>
        <w:tc>
          <w:tcPr>
            <w:tcW w:w="2168" w:type="dxa"/>
          </w:tcPr>
          <w:p w14:paraId="73ECC8C0" w14:textId="7305E536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Rozwijanie postaw prozdrowotnych i szeroka edukacja  w tym zakresie </w:t>
            </w:r>
          </w:p>
        </w:tc>
        <w:tc>
          <w:tcPr>
            <w:tcW w:w="2023" w:type="dxa"/>
          </w:tcPr>
          <w:p w14:paraId="5DDE5274" w14:textId="66EDE41F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Liczba działań rozwijających postawy prozdrowotne, liczba działań edukacyjnych </w:t>
            </w:r>
          </w:p>
        </w:tc>
      </w:tr>
      <w:tr w:rsidR="004D35AC" w:rsidRPr="00606D08" w14:paraId="02FB4973" w14:textId="77777777" w:rsidTr="004D35AC">
        <w:trPr>
          <w:trHeight w:val="559"/>
        </w:trPr>
        <w:tc>
          <w:tcPr>
            <w:tcW w:w="3947" w:type="dxa"/>
          </w:tcPr>
          <w:p w14:paraId="472106F3" w14:textId="4AC8AF61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673" w:type="dxa"/>
          </w:tcPr>
          <w:p w14:paraId="59147E8E" w14:textId="77CAC64B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3 000,00 zł </w:t>
            </w:r>
          </w:p>
        </w:tc>
        <w:tc>
          <w:tcPr>
            <w:tcW w:w="2168" w:type="dxa"/>
          </w:tcPr>
          <w:p w14:paraId="0247E51B" w14:textId="7CD9E73D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Kształtowanie i rozwijanie postaw sportowych  </w:t>
            </w:r>
          </w:p>
        </w:tc>
        <w:tc>
          <w:tcPr>
            <w:tcW w:w="2023" w:type="dxa"/>
          </w:tcPr>
          <w:p w14:paraId="1B2CF648" w14:textId="6BE46796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Liczba działań</w:t>
            </w:r>
            <w:r>
              <w:rPr>
                <w:sz w:val="24"/>
                <w:szCs w:val="24"/>
              </w:rPr>
              <w:t>/wydarzeń</w:t>
            </w:r>
            <w:r w:rsidRPr="00115422">
              <w:rPr>
                <w:sz w:val="24"/>
                <w:szCs w:val="24"/>
              </w:rPr>
              <w:t xml:space="preserve"> o charakterze sportowym </w:t>
            </w:r>
          </w:p>
        </w:tc>
      </w:tr>
    </w:tbl>
    <w:p w14:paraId="4F06A3F0" w14:textId="4E202E90" w:rsidR="0092686F" w:rsidRPr="00606D08" w:rsidRDefault="0092686F" w:rsidP="0092686F">
      <w:p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 xml:space="preserve"> </w:t>
      </w: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</w:t>
      </w:r>
      <w:r w:rsidRPr="00606D08">
        <w:rPr>
          <w:sz w:val="24"/>
          <w:szCs w:val="24"/>
        </w:rPr>
        <w:lastRenderedPageBreak/>
        <w:t xml:space="preserve">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176FCBC4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20% - bez zgody Zarządu Powiatu Bartoszyckiego  ( z wyłączeniem wzrostu wynagrodzeń) </w:t>
      </w:r>
    </w:p>
    <w:p w14:paraId="5B92EEF9" w14:textId="392B0EA7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Powyżej 20% po uzyskaniu zgody Zarządu Powiatu Bartoszyckiego i </w:t>
      </w:r>
      <w:r w:rsidR="00951AA7" w:rsidRPr="00F456C7">
        <w:rPr>
          <w:sz w:val="24"/>
          <w:szCs w:val="24"/>
        </w:rPr>
        <w:t>zawarciu</w:t>
      </w:r>
      <w:r w:rsidRPr="00F456C7">
        <w:rPr>
          <w:sz w:val="24"/>
          <w:szCs w:val="24"/>
        </w:rPr>
        <w:t xml:space="preserve"> aneksu do umowy, którego załącznikiem będzie zaktualizowana kalkulacja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</w:t>
      </w:r>
      <w:r w:rsidRPr="00F456C7">
        <w:rPr>
          <w:sz w:val="24"/>
          <w:szCs w:val="24"/>
        </w:rPr>
        <w:lastRenderedPageBreak/>
        <w:t xml:space="preserve">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5A61592B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Zadania konkursowe muszą być realizowane w 2021 r., zakończone nie później niż do 31 grudnia 2021 r. </w:t>
      </w:r>
    </w:p>
    <w:p w14:paraId="63A6B896" w14:textId="65127F85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Realizowane zadania publiczne powinny być skierowane do mieszkańców powiatu bartoszyckiego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7777777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wolontariacie.,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r w:rsidRPr="00F456C7">
        <w:rPr>
          <w:b/>
          <w:bCs/>
          <w:sz w:val="24"/>
          <w:szCs w:val="24"/>
          <w:u w:val="single"/>
        </w:rPr>
        <w:t>części  III.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t xml:space="preserve">IV. Termin składania ofert  </w:t>
      </w:r>
    </w:p>
    <w:p w14:paraId="7C23278A" w14:textId="63EE5F29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Bartoszycach, ul. Grota Roweckiego 1, 11-200 Bartoszyce lub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do </w:t>
      </w:r>
      <w:r w:rsidR="001732F0" w:rsidRPr="008063A1">
        <w:rPr>
          <w:b/>
          <w:bCs/>
          <w:color w:val="FF0000"/>
          <w:sz w:val="24"/>
          <w:szCs w:val="24"/>
          <w:u w:val="single"/>
        </w:rPr>
        <w:t>dnia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</w:t>
      </w:r>
      <w:r w:rsidR="00E15FEA" w:rsidRPr="008063A1">
        <w:rPr>
          <w:b/>
          <w:bCs/>
          <w:color w:val="FF0000"/>
          <w:sz w:val="24"/>
          <w:szCs w:val="24"/>
          <w:u w:val="single"/>
        </w:rPr>
        <w:t>6 kwietnia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2021 r.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>terminu decyduje 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77777777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należy składać w kopertach z dopiskiem „Otwarty konkurs ofert </w:t>
      </w:r>
      <w:r w:rsidR="00C31ABC" w:rsidRPr="00F456C7">
        <w:rPr>
          <w:sz w:val="24"/>
          <w:szCs w:val="24"/>
        </w:rPr>
        <w:t xml:space="preserve">na wykonanie zadań publicznych Powiatu Bartoszyckiego w 2021 roku przez organizacje pozarządowe”.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029EE0E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1B1D76D8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Ocenie merytorycznej podlegają jedynie oferty spełanijące wymogi formalne. </w:t>
      </w:r>
    </w:p>
    <w:p w14:paraId="5464FE41" w14:textId="360B9AC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Rocznym programie współpracy Powiatu Bartoszyckiego z organizacjami pozarządowymi oraz podmiotami wymienionymi w art. 3 ust. 3 ustawy o działalności pożytku publicznego i wolontariacie.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A56FC3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Rezultaty wskazują na zasadność realizacji zadania (wymieniono efekty jakościowe i ilościowe, odpowiednio zaplanowano monitorowanie rezultatów, 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787E698A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rekomendacje, w formie protokołu,  dotyczące zlecenia zadania i udzielenia dotacji.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ogłoszeń  oraz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7401AC77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 xml:space="preserve">VI. Informacja o wysokości dotacji przyznanych w 2020 roku </w:t>
      </w:r>
    </w:p>
    <w:p w14:paraId="64336D30" w14:textId="2D2F9890" w:rsidR="00CC2063" w:rsidRPr="004C32DB" w:rsidRDefault="00CC2063" w:rsidP="004C32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2020 </w:t>
      </w:r>
      <w:r w:rsidR="004C32D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Powiat Bartoszycki </w:t>
      </w:r>
      <w:r w:rsidR="004C32DB">
        <w:rPr>
          <w:sz w:val="24"/>
          <w:szCs w:val="24"/>
        </w:rPr>
        <w:t xml:space="preserve">ze względu na sytuację epidemiologiczną nie </w:t>
      </w:r>
      <w:r>
        <w:rPr>
          <w:sz w:val="24"/>
          <w:szCs w:val="24"/>
        </w:rPr>
        <w:t>przekazał</w:t>
      </w:r>
      <w:r w:rsidR="004C32DB">
        <w:rPr>
          <w:sz w:val="24"/>
          <w:szCs w:val="24"/>
        </w:rPr>
        <w:t xml:space="preserve"> dotacji</w:t>
      </w:r>
      <w:r>
        <w:rPr>
          <w:sz w:val="24"/>
          <w:szCs w:val="24"/>
        </w:rPr>
        <w:t xml:space="preserve"> na realizację zadań publicznych</w:t>
      </w:r>
      <w:r w:rsidR="004C32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469AC165" w14:textId="2BFC6074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p w14:paraId="4D43C6E0" w14:textId="77777777" w:rsidR="00FC2E78" w:rsidRPr="00D9281F" w:rsidRDefault="00FC2E78" w:rsidP="00F1701D">
      <w:p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9281F">
        <w:rPr>
          <w:sz w:val="24"/>
          <w:szCs w:val="24"/>
        </w:rPr>
        <w:t>publ</w:t>
      </w:r>
      <w:proofErr w:type="spellEnd"/>
      <w:r w:rsidRPr="00D9281F">
        <w:rPr>
          <w:sz w:val="24"/>
          <w:szCs w:val="24"/>
        </w:rPr>
        <w:t>. Dz. Urz. UE L Nr 119, s. 1, informujemy, że:</w:t>
      </w:r>
    </w:p>
    <w:p w14:paraId="3C3170B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 Administratorem przetwarzanych danych  jest</w:t>
      </w:r>
      <w:bookmarkStart w:id="2" w:name="_Hlk13058359"/>
      <w:r w:rsidRPr="00D9281F">
        <w:rPr>
          <w:sz w:val="24"/>
          <w:szCs w:val="24"/>
        </w:rPr>
        <w:t xml:space="preserve"> Powiat Bartoszycki reprezentowany przez Zarząd </w:t>
      </w:r>
    </w:p>
    <w:bookmarkEnd w:id="2"/>
    <w:p w14:paraId="4FBEFC0B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D9281F">
          <w:rPr>
            <w:rStyle w:val="Hipercze"/>
            <w:sz w:val="24"/>
            <w:szCs w:val="24"/>
          </w:rPr>
          <w:t>inspektor@cbi24.pl</w:t>
        </w:r>
      </w:hyperlink>
      <w:r w:rsidRPr="00D9281F">
        <w:rPr>
          <w:sz w:val="24"/>
          <w:szCs w:val="24"/>
        </w:rPr>
        <w:t xml:space="preserve"> lub pisemnie na adres Administratora. </w:t>
      </w:r>
    </w:p>
    <w:p w14:paraId="6CD815B9" w14:textId="2871537D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w celu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konkursu.</w:t>
      </w:r>
    </w:p>
    <w:p w14:paraId="38C65158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2B2B6F9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Podstawą prawną przetwarzania danych jest art. 6 ust. 1 lit. a) ww. Rozporządzenia.  </w:t>
      </w:r>
    </w:p>
    <w:p w14:paraId="3C65C149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Osoba, której dane dotyczą ma prawo do:</w:t>
      </w:r>
    </w:p>
    <w:p w14:paraId="26B4F2E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06D7322E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08ACD34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wniesienia skargi do organu nadzorczego tj.  Prezesa Urzędu Ochrony Danych Osobowych (ul. Stawki 2, 00-193 Warszawa), w sytuacji, gdy uzna, że przetwarzanie </w:t>
      </w:r>
      <w:r w:rsidRPr="00D9281F">
        <w:rPr>
          <w:sz w:val="24"/>
          <w:szCs w:val="24"/>
        </w:rPr>
        <w:lastRenderedPageBreak/>
        <w:t>danych osobowych narusza przepisy ogólnego rozporządzenia o ochronie danych osobowych (RODO).</w:t>
      </w:r>
    </w:p>
    <w:p w14:paraId="6931DF9F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95CC3A2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iCs/>
          <w:sz w:val="24"/>
          <w:szCs w:val="24"/>
        </w:rPr>
      </w:pPr>
      <w:r w:rsidRPr="00D9281F">
        <w:rPr>
          <w:sz w:val="24"/>
          <w:szCs w:val="24"/>
        </w:rPr>
        <w:t>Państwa dane nie będą przekazywane p</w:t>
      </w:r>
      <w:r w:rsidRPr="00D9281F">
        <w:rPr>
          <w:iCs/>
          <w:sz w:val="24"/>
          <w:szCs w:val="24"/>
        </w:rPr>
        <w:t xml:space="preserve">oza Europejski Obszar Gospodarczy do Stanów Zjednoczonych na podstawie art. 45 ust. 3 </w:t>
      </w:r>
      <w:proofErr w:type="spellStart"/>
      <w:r w:rsidRPr="00D9281F">
        <w:rPr>
          <w:iCs/>
          <w:sz w:val="24"/>
          <w:szCs w:val="24"/>
        </w:rPr>
        <w:t>zd</w:t>
      </w:r>
      <w:proofErr w:type="spellEnd"/>
      <w:r w:rsidRPr="00D9281F">
        <w:rPr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529B0AF" w14:textId="1E9C9836" w:rsidR="00FC2E78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Przetwarzanie danych osobowych jest niezbędne do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konkursu,</w:t>
      </w:r>
      <w:r w:rsidR="00D9281F" w:rsidRPr="00D9281F">
        <w:rPr>
          <w:bCs/>
          <w:iCs/>
          <w:sz w:val="24"/>
          <w:szCs w:val="24"/>
        </w:rPr>
        <w:t xml:space="preserve"> niemniej osoba, </w:t>
      </w:r>
      <w:r w:rsidRPr="00D9281F">
        <w:rPr>
          <w:sz w:val="24"/>
          <w:szCs w:val="24"/>
        </w:rPr>
        <w:t xml:space="preserve"> której dane dotyczą nie jest zobowiązana do ich podania. Nieprzekazanie danych osobowych będzie skutkować niemożnością udziału</w:t>
      </w:r>
      <w:r w:rsidR="00D9281F" w:rsidRPr="00D9281F">
        <w:rPr>
          <w:sz w:val="24"/>
          <w:szCs w:val="24"/>
        </w:rPr>
        <w:t xml:space="preserve"> w </w:t>
      </w:r>
      <w:r w:rsidR="00D9281F" w:rsidRPr="00D9281F">
        <w:rPr>
          <w:bCs/>
          <w:iCs/>
          <w:sz w:val="24"/>
          <w:szCs w:val="24"/>
        </w:rPr>
        <w:t>otwartym konkursie ofert</w:t>
      </w:r>
      <w:r w:rsidRPr="00D9281F">
        <w:rPr>
          <w:sz w:val="24"/>
          <w:szCs w:val="24"/>
        </w:rPr>
        <w:t>.</w:t>
      </w:r>
    </w:p>
    <w:p w14:paraId="78881320" w14:textId="3F94791C" w:rsidR="00F1701D" w:rsidRPr="00F1701D" w:rsidRDefault="00F1701D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</w:t>
      </w:r>
      <w:r w:rsidRPr="00F1701D">
        <w:rPr>
          <w:sz w:val="24"/>
          <w:szCs w:val="24"/>
        </w:rPr>
        <w:t xml:space="preserve">Państwo prawo do </w:t>
      </w:r>
      <w:r w:rsidRPr="00F1701D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sectPr w:rsidR="00F1701D" w:rsidRPr="00F1701D" w:rsidSect="00D7701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614E4" w14:textId="77777777" w:rsidR="007C3B2E" w:rsidRDefault="007C3B2E" w:rsidP="00F803EB">
      <w:pPr>
        <w:spacing w:after="0" w:line="240" w:lineRule="auto"/>
      </w:pPr>
      <w:r>
        <w:separator/>
      </w:r>
    </w:p>
  </w:endnote>
  <w:endnote w:type="continuationSeparator" w:id="0">
    <w:p w14:paraId="16DBD80D" w14:textId="77777777" w:rsidR="007C3B2E" w:rsidRDefault="007C3B2E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70F5" w14:textId="77777777" w:rsidR="007C3B2E" w:rsidRDefault="007C3B2E" w:rsidP="00F803EB">
      <w:pPr>
        <w:spacing w:after="0" w:line="240" w:lineRule="auto"/>
      </w:pPr>
      <w:r>
        <w:separator/>
      </w:r>
    </w:p>
  </w:footnote>
  <w:footnote w:type="continuationSeparator" w:id="0">
    <w:p w14:paraId="7FE49EA3" w14:textId="77777777" w:rsidR="007C3B2E" w:rsidRDefault="007C3B2E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569A2" w14:textId="50D92ECF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nr </w:t>
    </w:r>
    <w:r w:rsidR="008063A1">
      <w:rPr>
        <w:sz w:val="20"/>
        <w:szCs w:val="20"/>
      </w:rPr>
      <w:t xml:space="preserve">91/250/2021  </w:t>
    </w:r>
    <w:r w:rsidRPr="00F803EB">
      <w:rPr>
        <w:sz w:val="20"/>
        <w:szCs w:val="20"/>
      </w:rPr>
      <w:t>Zarządu Powiatu Bartoszyckiego z dnia</w:t>
    </w:r>
    <w:r w:rsidR="008063A1">
      <w:rPr>
        <w:sz w:val="20"/>
        <w:szCs w:val="20"/>
      </w:rPr>
      <w:t xml:space="preserve"> 09 marca 2021 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115422"/>
    <w:rsid w:val="00171C3E"/>
    <w:rsid w:val="001732F0"/>
    <w:rsid w:val="001C180F"/>
    <w:rsid w:val="002879BF"/>
    <w:rsid w:val="00294422"/>
    <w:rsid w:val="00377CBE"/>
    <w:rsid w:val="004C32DB"/>
    <w:rsid w:val="004D35AC"/>
    <w:rsid w:val="00542D39"/>
    <w:rsid w:val="00581CB6"/>
    <w:rsid w:val="00606D08"/>
    <w:rsid w:val="007615FF"/>
    <w:rsid w:val="00770AC7"/>
    <w:rsid w:val="007825FC"/>
    <w:rsid w:val="007C3B2E"/>
    <w:rsid w:val="008063A1"/>
    <w:rsid w:val="00825835"/>
    <w:rsid w:val="008336FF"/>
    <w:rsid w:val="008E180B"/>
    <w:rsid w:val="008F775F"/>
    <w:rsid w:val="0092686F"/>
    <w:rsid w:val="00951AA7"/>
    <w:rsid w:val="0096277C"/>
    <w:rsid w:val="00B16639"/>
    <w:rsid w:val="00B65F9C"/>
    <w:rsid w:val="00BB2677"/>
    <w:rsid w:val="00C31ABC"/>
    <w:rsid w:val="00C54629"/>
    <w:rsid w:val="00C5793C"/>
    <w:rsid w:val="00CC2063"/>
    <w:rsid w:val="00D15907"/>
    <w:rsid w:val="00D350EC"/>
    <w:rsid w:val="00D7701E"/>
    <w:rsid w:val="00D9281F"/>
    <w:rsid w:val="00E15FEA"/>
    <w:rsid w:val="00E33CD1"/>
    <w:rsid w:val="00E3686A"/>
    <w:rsid w:val="00E700E3"/>
    <w:rsid w:val="00E74724"/>
    <w:rsid w:val="00E814D2"/>
    <w:rsid w:val="00EA6DAB"/>
    <w:rsid w:val="00F123A2"/>
    <w:rsid w:val="00F1701D"/>
    <w:rsid w:val="00F456C7"/>
    <w:rsid w:val="00F803EB"/>
    <w:rsid w:val="00FB1AE3"/>
    <w:rsid w:val="00FC2E78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2173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2021-03-01T13:37:00Z</dcterms:created>
  <dcterms:modified xsi:type="dcterms:W3CDTF">2021-03-12T07:39:00Z</dcterms:modified>
</cp:coreProperties>
</file>